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ABD30" w14:textId="77777777" w:rsidR="00B272DD" w:rsidRDefault="00B272DD" w:rsidP="00E35559">
      <w:pPr>
        <w:pStyle w:val="3GPPHeader"/>
        <w:spacing w:after="60"/>
      </w:pPr>
    </w:p>
    <w:p w14:paraId="19344A55" w14:textId="2C17A3B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AD0662" w:rsidRPr="00AD0662">
        <w:t>2</w:t>
      </w:r>
      <w:r w:rsidRPr="00CE0424">
        <w:t>#</w:t>
      </w:r>
      <w:r w:rsidR="00AD0662">
        <w:t>10</w:t>
      </w:r>
      <w:r w:rsidR="00475172">
        <w:t>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184FB8">
        <w:rPr>
          <w:sz w:val="32"/>
          <w:szCs w:val="32"/>
        </w:rPr>
        <w:t>818397</w:t>
      </w:r>
    </w:p>
    <w:p w14:paraId="5E855024" w14:textId="3B03FD39" w:rsidR="00D537A2" w:rsidRPr="00D537A2" w:rsidRDefault="00475172" w:rsidP="00D537A2">
      <w:pPr>
        <w:pStyle w:val="3GPPHeader"/>
      </w:pPr>
      <w:r w:rsidRPr="00475172">
        <w:t>Spokane, USA, 12th – 1</w:t>
      </w:r>
      <w:r w:rsidR="00F71A76">
        <w:t>6</w:t>
      </w:r>
      <w:r w:rsidRPr="00475172">
        <w:t>th November 2018</w:t>
      </w:r>
      <w:r w:rsidR="00D537A2" w:rsidRPr="00D537A2">
        <w:tab/>
      </w:r>
      <w:bookmarkStart w:id="0" w:name="_Hlk525641008"/>
      <w:r w:rsidR="00D537A2" w:rsidRPr="00D537A2">
        <w:t>(Revision of R2-18</w:t>
      </w:r>
      <w:r w:rsidR="00D537A2">
        <w:t>1</w:t>
      </w:r>
      <w:r>
        <w:t>4562</w:t>
      </w:r>
      <w:r w:rsidR="00D537A2" w:rsidRPr="00D537A2">
        <w:t>)</w:t>
      </w:r>
    </w:p>
    <w:bookmarkEnd w:id="0"/>
    <w:p w14:paraId="587F5280" w14:textId="77777777" w:rsidR="00E90E49" w:rsidRPr="00CE0424" w:rsidRDefault="00E90E49" w:rsidP="00357380">
      <w:pPr>
        <w:pStyle w:val="3GPPHeader"/>
      </w:pPr>
    </w:p>
    <w:p w14:paraId="278CDBEF" w14:textId="68CAB049" w:rsidR="00E90E49" w:rsidRPr="00F71A76" w:rsidRDefault="00E90E49" w:rsidP="00311702">
      <w:pPr>
        <w:pStyle w:val="3GPPHeader"/>
        <w:rPr>
          <w:sz w:val="22"/>
          <w:szCs w:val="22"/>
          <w:lang w:val="en-US"/>
        </w:rPr>
      </w:pPr>
      <w:r w:rsidRPr="00F71A76">
        <w:rPr>
          <w:sz w:val="22"/>
          <w:szCs w:val="22"/>
          <w:lang w:val="en-US"/>
        </w:rPr>
        <w:t>Agenda Item:</w:t>
      </w:r>
      <w:r w:rsidRPr="00F71A76">
        <w:rPr>
          <w:sz w:val="22"/>
          <w:szCs w:val="22"/>
          <w:lang w:val="en-US"/>
        </w:rPr>
        <w:tab/>
      </w:r>
      <w:r w:rsidR="00797906" w:rsidRPr="00F71A76">
        <w:rPr>
          <w:sz w:val="22"/>
          <w:szCs w:val="22"/>
          <w:lang w:val="en-US"/>
        </w:rPr>
        <w:t>10</w:t>
      </w:r>
      <w:r w:rsidR="00E745B6">
        <w:rPr>
          <w:sz w:val="22"/>
          <w:szCs w:val="22"/>
          <w:lang w:val="en-US"/>
        </w:rPr>
        <w:t>.5.</w:t>
      </w:r>
      <w:r w:rsidR="00D100BC">
        <w:rPr>
          <w:sz w:val="22"/>
          <w:szCs w:val="22"/>
          <w:lang w:val="en-US"/>
        </w:rPr>
        <w:t>7</w:t>
      </w:r>
    </w:p>
    <w:p w14:paraId="61DE14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CDE031" w14:textId="7E3FD0A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C7598">
        <w:rPr>
          <w:sz w:val="22"/>
          <w:szCs w:val="22"/>
        </w:rPr>
        <w:t>SCG failure</w:t>
      </w:r>
      <w:r w:rsidR="009C7598" w:rsidRPr="00F76AD9">
        <w:rPr>
          <w:sz w:val="22"/>
          <w:szCs w:val="22"/>
        </w:rPr>
        <w:t xml:space="preserve"> handling in case of </w:t>
      </w:r>
      <w:r w:rsidR="00475172">
        <w:rPr>
          <w:sz w:val="22"/>
          <w:szCs w:val="22"/>
        </w:rPr>
        <w:t>MR-DC</w:t>
      </w:r>
    </w:p>
    <w:p w14:paraId="381E6941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97906">
        <w:rPr>
          <w:sz w:val="22"/>
          <w:szCs w:val="22"/>
        </w:rPr>
        <w:t>Discussion, Decision</w:t>
      </w:r>
    </w:p>
    <w:p w14:paraId="01B8B7F6" w14:textId="77777777" w:rsidR="00E90E49" w:rsidRPr="00CE0424" w:rsidRDefault="00E90E49" w:rsidP="00E90E49"/>
    <w:p w14:paraId="267607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310CDD" w14:textId="7E7BABC2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bookmarkStart w:id="1" w:name="_Ref178064866"/>
      <w:r w:rsidRPr="009C7598">
        <w:rPr>
          <w:rFonts w:ascii="Arial" w:hAnsi="Arial"/>
          <w:lang w:eastAsia="zh-CN"/>
        </w:rPr>
        <w:t>In RAN2#97bis, the following agreements were made regarding EN-DC:</w:t>
      </w:r>
    </w:p>
    <w:p w14:paraId="7CC7395F" w14:textId="77777777" w:rsidR="009C7598" w:rsidRPr="009C7598" w:rsidRDefault="009C7598" w:rsidP="00D537A2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2"/>
          <w:tab w:val="left" w:pos="9214"/>
        </w:tabs>
        <w:spacing w:after="120"/>
        <w:ind w:left="426" w:hanging="426"/>
        <w:contextualSpacing/>
        <w:jc w:val="both"/>
        <w:textAlignment w:val="auto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 xml:space="preserve">If radio link failure is detected for MCG, UE initiates RRC connection re-establishment procedure with the </w:t>
      </w:r>
      <w:proofErr w:type="spellStart"/>
      <w:r w:rsidRPr="009C7598">
        <w:rPr>
          <w:rFonts w:ascii="Arial" w:hAnsi="Arial"/>
          <w:lang w:eastAsia="zh-CN"/>
        </w:rPr>
        <w:t>PCell</w:t>
      </w:r>
      <w:proofErr w:type="spellEnd"/>
      <w:r w:rsidRPr="009C7598">
        <w:rPr>
          <w:rFonts w:ascii="Arial" w:hAnsi="Arial"/>
          <w:lang w:eastAsia="zh-CN"/>
        </w:rPr>
        <w:t>.</w:t>
      </w:r>
    </w:p>
    <w:p w14:paraId="01F0EF78" w14:textId="77777777" w:rsidR="009C7598" w:rsidRPr="009C7598" w:rsidRDefault="009C7598" w:rsidP="00D537A2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jc w:val="both"/>
        <w:textAlignment w:val="auto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>If radio link failure is detected for SCG, UE suspends all SCG radio bearers (including SCG split bearers) and SCG transmissions for split radio bearers, and reports SCG failure information</w:t>
      </w:r>
    </w:p>
    <w:p w14:paraId="0051D486" w14:textId="77777777" w:rsidR="009C7598" w:rsidRDefault="009C7598" w:rsidP="009C7598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74A12FBB" w14:textId="28C61C32" w:rsidR="00D537A2" w:rsidRDefault="00D537A2" w:rsidP="00D537A2">
      <w:pPr>
        <w:pStyle w:val="BodyText"/>
      </w:pPr>
      <w:r>
        <w:t xml:space="preserve">In RAN2#103, </w:t>
      </w:r>
      <w:r w:rsidR="00475172">
        <w:t xml:space="preserve">the </w:t>
      </w:r>
      <w:r>
        <w:t xml:space="preserve">bearer management in MR-DC (including NE-DC) </w:t>
      </w:r>
      <w:r w:rsidR="00475172">
        <w:t xml:space="preserve">and the </w:t>
      </w:r>
      <w:r w:rsidR="00475172" w:rsidRPr="00C76333">
        <w:t xml:space="preserve">RRC </w:t>
      </w:r>
      <w:r w:rsidR="00475172">
        <w:t>impacts of MR-</w:t>
      </w:r>
      <w:r w:rsidR="00475172" w:rsidRPr="000B7583">
        <w:t xml:space="preserve"> </w:t>
      </w:r>
      <w:r w:rsidR="00475172">
        <w:t>DC (including NE-DC) were</w:t>
      </w:r>
      <w:r>
        <w:t xml:space="preserve"> discussed and the following agreements were made</w:t>
      </w:r>
      <w:r w:rsidR="00475172">
        <w:t>:</w:t>
      </w:r>
    </w:p>
    <w:p w14:paraId="66B0FE16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Agreements</w:t>
      </w:r>
    </w:p>
    <w:p w14:paraId="2F10743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1.</w:t>
      </w:r>
      <w:r w:rsidRPr="00F02B67">
        <w:rPr>
          <w:lang w:val="x-none"/>
        </w:rPr>
        <w:tab/>
        <w:t>For DRB, all the bearer types defined in EN-DC are supported for NR-DC (in addition to all NG-EN-DC and NG-DC options as already captured in stage 2)</w:t>
      </w:r>
    </w:p>
    <w:p w14:paraId="25478D91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2</w:t>
      </w:r>
      <w:r w:rsidRPr="00F02B67">
        <w:rPr>
          <w:lang w:val="x-none"/>
        </w:rPr>
        <w:tab/>
        <w:t xml:space="preserve">NR-DC is considered as belonging to the set of MR-DC options. </w:t>
      </w:r>
    </w:p>
    <w:p w14:paraId="450ECBDE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2i</w:t>
      </w:r>
      <w:r w:rsidRPr="00F02B67">
        <w:rPr>
          <w:lang w:val="x-none"/>
        </w:rPr>
        <w:tab/>
        <w:t>This does not preclude that there might be differences that are specified. This does not mean that all current MR-DC agreement automatically apply to NR-DC without discussion. (This will be captured in an editor's not until all uses of MR-DC have been checked)</w:t>
      </w:r>
    </w:p>
    <w:p w14:paraId="63AFD578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3.</w:t>
      </w:r>
      <w:r w:rsidRPr="00F02B67">
        <w:rPr>
          <w:lang w:val="x-none"/>
        </w:rPr>
        <w:tab/>
      </w:r>
      <w:r w:rsidRPr="00D537A2">
        <w:rPr>
          <w:highlight w:val="yellow"/>
          <w:lang w:val="x-none"/>
        </w:rPr>
        <w:t>Split SRB1 and SRB2 are supported in NR-DC.</w:t>
      </w:r>
    </w:p>
    <w:p w14:paraId="6B9D43EB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4.</w:t>
      </w:r>
      <w:r w:rsidRPr="00F02B67">
        <w:rPr>
          <w:lang w:val="x-none"/>
        </w:rPr>
        <w:tab/>
        <w:t>DC duplication is supported for DRBs regardless of PDCP location in all MR-DC options.</w:t>
      </w:r>
    </w:p>
    <w:p w14:paraId="0B437AB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5.</w:t>
      </w:r>
      <w:r w:rsidRPr="00F02B67">
        <w:rPr>
          <w:lang w:val="x-none"/>
        </w:rPr>
        <w:tab/>
        <w:t>DC duplication is supported for SRB1 and SRB2 in all MR-DC options.</w:t>
      </w:r>
    </w:p>
    <w:p w14:paraId="36C7B17F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6.</w:t>
      </w:r>
      <w:r w:rsidRPr="00F02B67">
        <w:rPr>
          <w:lang w:val="x-none"/>
        </w:rPr>
        <w:tab/>
        <w:t>For all MR-DC options, CA duplication is supported only in NR cell group regardless of PDCP location.</w:t>
      </w:r>
    </w:p>
    <w:p w14:paraId="25F12802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7.</w:t>
      </w:r>
      <w:r w:rsidRPr="00F02B67">
        <w:rPr>
          <w:lang w:val="x-none"/>
        </w:rPr>
        <w:tab/>
        <w:t xml:space="preserve">When the master is NR, CA duplication is supported for SRB1, SRB2 </w:t>
      </w:r>
    </w:p>
    <w:p w14:paraId="36E9BC27" w14:textId="77777777" w:rsidR="00D537A2" w:rsidRDefault="00D537A2" w:rsidP="00D537A2">
      <w:pPr>
        <w:pStyle w:val="BodyText"/>
      </w:pPr>
    </w:p>
    <w:p w14:paraId="63B28D8D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Agreements</w:t>
      </w:r>
    </w:p>
    <w:p w14:paraId="53ED332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1:</w:t>
      </w:r>
      <w:r w:rsidRPr="00F02B67">
        <w:rPr>
          <w:lang w:val="x-none"/>
        </w:rPr>
        <w:tab/>
      </w:r>
      <w:r w:rsidRPr="00D537A2">
        <w:rPr>
          <w:lang w:val="x-none"/>
        </w:rPr>
        <w:t>For NGEN-DC and NE-DC the control plane architecture is based on EN-DC</w:t>
      </w:r>
    </w:p>
    <w:p w14:paraId="4DD09D0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2</w:t>
      </w:r>
      <w:r w:rsidRPr="00F02B67">
        <w:rPr>
          <w:lang w:val="x-none"/>
        </w:rPr>
        <w:tab/>
        <w:t>For NR-DC the control plane architecture is based on EN-DC</w:t>
      </w:r>
    </w:p>
    <w:p w14:paraId="572546BF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FFS1 If there are differences at stage 3 in how the SN configuration is carried by the RRC message generated by the MN.</w:t>
      </w:r>
    </w:p>
    <w:p w14:paraId="4C17FD7B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FFS2 How capability coordination is performed in the case of NR-DC</w:t>
      </w:r>
    </w:p>
    <w:p w14:paraId="4F642755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3:</w:t>
      </w:r>
      <w:r w:rsidRPr="00F02B67">
        <w:rPr>
          <w:lang w:val="x-none"/>
        </w:rPr>
        <w:tab/>
      </w:r>
      <w:r w:rsidRPr="00D537A2">
        <w:rPr>
          <w:highlight w:val="yellow"/>
          <w:lang w:val="x-none"/>
        </w:rPr>
        <w:t>SRB3 can be configured for NR-DC</w:t>
      </w:r>
    </w:p>
    <w:p w14:paraId="18C6DB5E" w14:textId="6ADF4D0A" w:rsidR="00475172" w:rsidRDefault="00475172" w:rsidP="009C7598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Furthermore, in RAN2#104, we made the following relevant agreements:</w:t>
      </w:r>
    </w:p>
    <w:p w14:paraId="3A912BBE" w14:textId="77777777" w:rsidR="00475172" w:rsidRDefault="00475172" w:rsidP="00475172">
      <w:pPr>
        <w:pStyle w:val="Doc-text2"/>
        <w:ind w:hanging="1622"/>
      </w:pPr>
    </w:p>
    <w:p w14:paraId="6E47DCE1" w14:textId="77777777" w:rsidR="00475172" w:rsidRDefault="00475172" w:rsidP="004751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hanging="1622"/>
      </w:pPr>
      <w:r>
        <w:t>Agreements</w:t>
      </w:r>
    </w:p>
    <w:p w14:paraId="55F1A12B" w14:textId="77777777" w:rsidR="00475172" w:rsidRDefault="00475172" w:rsidP="004751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hanging="1622"/>
      </w:pPr>
      <w:r>
        <w:t>1: In EN-DC, for UL split SRB, primary path is always MCG.</w:t>
      </w:r>
    </w:p>
    <w:p w14:paraId="31C0CB29" w14:textId="77777777" w:rsidR="00475172" w:rsidRDefault="00475172" w:rsidP="004751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hanging="1622"/>
      </w:pPr>
      <w:r>
        <w:t>2: In NGEN-DC, NE-DC and NR DC, for UL split SRB, primary path is always MCG.</w:t>
      </w:r>
    </w:p>
    <w:p w14:paraId="4C3EA3E2" w14:textId="77777777" w:rsidR="00475172" w:rsidRDefault="00475172" w:rsidP="004751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hanging="1622"/>
      </w:pPr>
      <w:r>
        <w:t>(Note: Still possible for UL duplication to be configured for an SRB)</w:t>
      </w:r>
    </w:p>
    <w:p w14:paraId="1A21F397" w14:textId="77777777" w:rsidR="00475172" w:rsidRDefault="00475172" w:rsidP="004751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22"/>
        </w:tabs>
        <w:ind w:left="284" w:hanging="284"/>
      </w:pPr>
      <w:r>
        <w:t>=&gt;</w:t>
      </w:r>
      <w:r>
        <w:tab/>
        <w:t>Check offline that the spec is clear that with duplication configured the SCG failure triggers SCG Failure message to MN and MCG failure triggers re-establishment (Offline discussion 47, CATT)</w:t>
      </w:r>
    </w:p>
    <w:p w14:paraId="238A9D35" w14:textId="77777777" w:rsidR="00475172" w:rsidRPr="001A2047" w:rsidRDefault="00475172" w:rsidP="004751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22"/>
        </w:tabs>
        <w:ind w:left="284" w:hanging="284"/>
      </w:pPr>
      <w:r>
        <w:t>-</w:t>
      </w:r>
      <w:r>
        <w:tab/>
        <w:t>Update from offline discussion: For EN-DC concluded the spec is clear and nothing needs to be changed. For other cases they can be discussed as part of the later drop.</w:t>
      </w:r>
    </w:p>
    <w:p w14:paraId="139B55D9" w14:textId="77777777" w:rsidR="00475172" w:rsidRPr="00475172" w:rsidRDefault="00475172" w:rsidP="009C7598">
      <w:pPr>
        <w:spacing w:after="120"/>
        <w:jc w:val="both"/>
        <w:rPr>
          <w:rFonts w:ascii="Arial" w:hAnsi="Arial" w:cs="Arial"/>
          <w:lang w:val="x-none" w:eastAsia="zh-CN"/>
        </w:rPr>
      </w:pPr>
    </w:p>
    <w:p w14:paraId="131F8F1C" w14:textId="3178B31A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 w:cs="Arial"/>
          <w:lang w:val="en-US" w:eastAsia="zh-CN"/>
        </w:rPr>
        <w:t xml:space="preserve">In this contribution, we will outline </w:t>
      </w:r>
      <w:r w:rsidRPr="009C7598">
        <w:rPr>
          <w:rFonts w:ascii="Arial" w:hAnsi="Arial"/>
          <w:lang w:eastAsia="zh-CN"/>
        </w:rPr>
        <w:t>the SCG RLF handling for NR E-UTRAN Dual Connectivity (NE-DC) and NR-NR Dual Connectivity (N</w:t>
      </w:r>
      <w:r>
        <w:rPr>
          <w:rFonts w:ascii="Arial" w:hAnsi="Arial"/>
          <w:lang w:eastAsia="zh-CN"/>
        </w:rPr>
        <w:t>R</w:t>
      </w:r>
      <w:r w:rsidRPr="009C7598">
        <w:rPr>
          <w:rFonts w:ascii="Arial" w:hAnsi="Arial"/>
          <w:lang w:eastAsia="zh-CN"/>
        </w:rPr>
        <w:t xml:space="preserve">-DC) cases along with the discussion of what principles we can reuse and what changes we can propose regarding SCG RLF handling. </w:t>
      </w:r>
    </w:p>
    <w:p w14:paraId="2FBCD4B4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1A43CC9D" w14:textId="77777777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 xml:space="preserve">In LTE, when a Radio Link Failure (RLF) is detected on the MCG, RRC connection reestablishment procedure is triggered, suspending the ongoing communication until the UE re-synchronizes with the network. On the other hand, if the UE experiences a failure on the SCG, then the UE does not have to initiate an RRC connection reestablishment procedure but instead it sends </w:t>
      </w:r>
      <w:proofErr w:type="spellStart"/>
      <w:r w:rsidRPr="009C7598">
        <w:rPr>
          <w:rFonts w:ascii="Arial" w:hAnsi="Arial"/>
          <w:lang w:eastAsia="zh-CN"/>
        </w:rPr>
        <w:t>SCGFailureInformation</w:t>
      </w:r>
      <w:proofErr w:type="spellEnd"/>
      <w:r w:rsidRPr="009C7598">
        <w:rPr>
          <w:rFonts w:ascii="Arial" w:hAnsi="Arial"/>
          <w:lang w:eastAsia="zh-CN"/>
        </w:rPr>
        <w:t xml:space="preserve"> via MCG SRB. Upon receiving </w:t>
      </w:r>
      <w:proofErr w:type="spellStart"/>
      <w:r w:rsidRPr="009C7598">
        <w:rPr>
          <w:rFonts w:ascii="Arial" w:hAnsi="Arial"/>
          <w:lang w:eastAsia="zh-CN"/>
        </w:rPr>
        <w:t>SCGFailureInformation</w:t>
      </w:r>
      <w:proofErr w:type="spellEnd"/>
      <w:r w:rsidRPr="009C7598">
        <w:rPr>
          <w:rFonts w:ascii="Arial" w:hAnsi="Arial"/>
          <w:lang w:eastAsia="zh-CN"/>
        </w:rPr>
        <w:t xml:space="preserve">, MN can then decide to initiate an SN release (and optionally, change the SCG to an SN with a better radio conditions). In this case, as the MCG radio link is available, and the traffic can be rerouted via MCG, UE does not experience a notable service interruption as in MCG RLF. </w:t>
      </w:r>
    </w:p>
    <w:p w14:paraId="360D6041" w14:textId="40D324E6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 xml:space="preserve">In EN-DC, the actions triggered upon an RLF are mainly based on the existing LTE procedures. Accordingly, in RAN2#97bis meeting, it was agreed that if an RLF is detected on the MCG (i.e., MCG RLF), the UE initiates the RRC connection re-establishment procedure. It was also agreed that when a </w:t>
      </w:r>
      <w:r w:rsidR="00035B90">
        <w:rPr>
          <w:rFonts w:ascii="Arial" w:hAnsi="Arial"/>
          <w:lang w:eastAsia="zh-CN"/>
        </w:rPr>
        <w:t>failure</w:t>
      </w:r>
      <w:r w:rsidRPr="009C7598">
        <w:rPr>
          <w:rFonts w:ascii="Arial" w:hAnsi="Arial"/>
          <w:lang w:eastAsia="zh-CN"/>
        </w:rPr>
        <w:t xml:space="preserve"> is detected on the SCG, UE suspends all SCG SRBs/DRBs as well as SCG transmission for MCG split SRBs/DRBs / SCG split DRBs. In this case, instead of directly triggering the RRC re-establishment procedure, UE indicates to the MN an SCG </w:t>
      </w:r>
      <w:r w:rsidR="00035B90">
        <w:rPr>
          <w:rFonts w:ascii="Arial" w:hAnsi="Arial"/>
          <w:lang w:eastAsia="zh-CN"/>
        </w:rPr>
        <w:t>failure</w:t>
      </w:r>
      <w:r w:rsidRPr="009C7598">
        <w:rPr>
          <w:rFonts w:ascii="Arial" w:hAnsi="Arial"/>
          <w:lang w:eastAsia="zh-CN"/>
        </w:rPr>
        <w:t xml:space="preserve"> has occurred with an </w:t>
      </w:r>
      <w:proofErr w:type="spellStart"/>
      <w:r w:rsidRPr="009C7598">
        <w:rPr>
          <w:rFonts w:ascii="Arial" w:hAnsi="Arial"/>
          <w:lang w:eastAsia="zh-CN"/>
        </w:rPr>
        <w:t>SCGFailureInformation</w:t>
      </w:r>
      <w:proofErr w:type="spellEnd"/>
      <w:r w:rsidRPr="009C7598">
        <w:rPr>
          <w:rFonts w:ascii="Arial" w:hAnsi="Arial"/>
          <w:lang w:eastAsia="zh-CN"/>
        </w:rPr>
        <w:t xml:space="preserve"> via the MCG path of MCG Split SRB or MCG SRB.</w:t>
      </w:r>
    </w:p>
    <w:p w14:paraId="3A326073" w14:textId="77777777" w:rsidR="009C7598" w:rsidRPr="009C7598" w:rsidRDefault="009C7598" w:rsidP="009C7598">
      <w:pPr>
        <w:spacing w:after="120"/>
        <w:jc w:val="center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object w:dxaOrig="6120" w:dyaOrig="4995" w14:anchorId="417756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249.75pt" o:ole="">
            <v:imagedata r:id="rId13" o:title=""/>
          </v:shape>
          <o:OLEObject Type="Embed" ProgID="Visio.Drawing.15" ShapeID="_x0000_i1025" DrawAspect="Content" ObjectID="_1602651466" r:id="rId14"/>
        </w:object>
      </w:r>
    </w:p>
    <w:p w14:paraId="39AAF684" w14:textId="77777777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/>
          <w:b/>
          <w:lang w:eastAsia="zh-CN"/>
        </w:rPr>
        <w:t>Figure 1:</w:t>
      </w:r>
      <w:r w:rsidRPr="009C7598">
        <w:rPr>
          <w:rFonts w:ascii="Arial" w:hAnsi="Arial"/>
          <w:lang w:eastAsia="zh-CN"/>
        </w:rPr>
        <w:t xml:space="preserve"> Illustration of MCG Split SRB where SCG failure occurs on the SCG path (SRB1S) in case of NE-DC scenario.</w:t>
      </w:r>
    </w:p>
    <w:p w14:paraId="6EBFFE84" w14:textId="77777777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</w:p>
    <w:p w14:paraId="5694029E" w14:textId="38E7B800" w:rsidR="009C7598" w:rsidRPr="009C7598" w:rsidRDefault="009C7598" w:rsidP="009C7598">
      <w:pPr>
        <w:spacing w:after="120"/>
        <w:jc w:val="both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eastAsia="zh-CN"/>
        </w:rPr>
        <w:lastRenderedPageBreak/>
        <w:t>In order to utilize the mobility robustness benefits of Split SRB</w:t>
      </w:r>
      <w:r w:rsidR="00B11A99">
        <w:rPr>
          <w:rFonts w:ascii="Arial" w:hAnsi="Arial"/>
          <w:lang w:eastAsia="zh-CN"/>
        </w:rPr>
        <w:t>,</w:t>
      </w:r>
      <w:r w:rsidRPr="009C7598">
        <w:rPr>
          <w:rFonts w:ascii="Arial" w:hAnsi="Arial"/>
          <w:lang w:eastAsia="zh-CN"/>
        </w:rPr>
        <w:t xml:space="preserve"> </w:t>
      </w:r>
      <w:r w:rsidRPr="009C7598">
        <w:rPr>
          <w:rFonts w:ascii="Arial" w:hAnsi="Arial"/>
          <w:lang w:val="en-US" w:eastAsia="zh-CN"/>
        </w:rPr>
        <w:t xml:space="preserve">the EN-DC decisions regarding SCG </w:t>
      </w:r>
      <w:r w:rsidR="0033387A">
        <w:rPr>
          <w:rFonts w:ascii="Arial" w:hAnsi="Arial"/>
          <w:lang w:val="en-US" w:eastAsia="zh-CN"/>
        </w:rPr>
        <w:t>failure</w:t>
      </w:r>
      <w:r w:rsidRPr="009C7598">
        <w:rPr>
          <w:rFonts w:ascii="Arial" w:hAnsi="Arial"/>
          <w:lang w:val="en-US" w:eastAsia="zh-CN"/>
        </w:rPr>
        <w:t xml:space="preserve"> can be taken as a baseline for SCG failure handling for NE-DC and N</w:t>
      </w:r>
      <w:r>
        <w:rPr>
          <w:rFonts w:ascii="Arial" w:hAnsi="Arial"/>
          <w:lang w:val="en-US" w:eastAsia="zh-CN"/>
        </w:rPr>
        <w:t>R</w:t>
      </w:r>
      <w:r w:rsidRPr="009C7598">
        <w:rPr>
          <w:rFonts w:ascii="Arial" w:hAnsi="Arial"/>
          <w:lang w:val="en-US" w:eastAsia="zh-CN"/>
        </w:rPr>
        <w:t>-DC. Accordingly, NE-DC and N</w:t>
      </w:r>
      <w:r>
        <w:rPr>
          <w:rFonts w:ascii="Arial" w:hAnsi="Arial"/>
          <w:lang w:val="en-US" w:eastAsia="zh-CN"/>
        </w:rPr>
        <w:t>R</w:t>
      </w:r>
      <w:r w:rsidRPr="009C7598">
        <w:rPr>
          <w:rFonts w:ascii="Arial" w:hAnsi="Arial"/>
          <w:lang w:val="en-US" w:eastAsia="zh-CN"/>
        </w:rPr>
        <w:t xml:space="preserve">-DC should support at least the following SCG failure cases: </w:t>
      </w:r>
    </w:p>
    <w:p w14:paraId="07353A33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SCG RLF;</w:t>
      </w:r>
    </w:p>
    <w:p w14:paraId="20065EFE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SN change failure;</w:t>
      </w:r>
    </w:p>
    <w:p w14:paraId="2F76ED0C" w14:textId="4795BF04" w:rsidR="009C7598" w:rsidRPr="009C7598" w:rsidRDefault="009C7598" w:rsidP="009C7598">
      <w:pPr>
        <w:spacing w:after="120"/>
        <w:jc w:val="both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However, since direct SRB is not to be supported for NE-DC but for N</w:t>
      </w:r>
      <w:r w:rsidR="00B11A99">
        <w:rPr>
          <w:rFonts w:ascii="Arial" w:hAnsi="Arial"/>
          <w:lang w:val="en-US" w:eastAsia="zh-CN"/>
        </w:rPr>
        <w:t>R-</w:t>
      </w:r>
      <w:r w:rsidRPr="009C7598">
        <w:rPr>
          <w:rFonts w:ascii="Arial" w:hAnsi="Arial"/>
          <w:lang w:val="en-US" w:eastAsia="zh-CN"/>
        </w:rPr>
        <w:t>DC, the following SCG failure cases are only supported for EN-DC and NG-EN-DC (as earlier agreed for both) as well as N</w:t>
      </w:r>
      <w:r>
        <w:rPr>
          <w:rFonts w:ascii="Arial" w:hAnsi="Arial"/>
          <w:lang w:val="en-US" w:eastAsia="zh-CN"/>
        </w:rPr>
        <w:t>R</w:t>
      </w:r>
      <w:r w:rsidRPr="009C7598">
        <w:rPr>
          <w:rFonts w:ascii="Arial" w:hAnsi="Arial"/>
          <w:lang w:val="en-US" w:eastAsia="zh-CN"/>
        </w:rPr>
        <w:t xml:space="preserve">-DC (as proposed herein). </w:t>
      </w:r>
    </w:p>
    <w:p w14:paraId="0070B6BC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SCG configuration failure (only for messages on SRB3);</w:t>
      </w:r>
    </w:p>
    <w:p w14:paraId="7F1F07CF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SCG RRC integrity check failure (on SRB3).</w:t>
      </w:r>
    </w:p>
    <w:p w14:paraId="2C5DBDAB" w14:textId="406E64FA" w:rsidR="009C7598" w:rsidRPr="009C7598" w:rsidRDefault="009C7598" w:rsidP="00A04F49">
      <w:pPr>
        <w:pStyle w:val="BodyText"/>
        <w:rPr>
          <w:lang w:val="en-US"/>
        </w:rPr>
      </w:pPr>
      <w:r w:rsidRPr="009C7598">
        <w:rPr>
          <w:lang w:val="en-US"/>
        </w:rPr>
        <w:t>Accordingly, the necessary changes in Stage 2 is provided in</w:t>
      </w:r>
      <w:r w:rsidR="00FD487C">
        <w:rPr>
          <w:lang w:val="en-US"/>
        </w:rPr>
        <w:t xml:space="preserve"> </w:t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_Ref525743052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9793F">
        <w:rPr>
          <w:lang w:val="en-US"/>
        </w:rPr>
        <w:t>[1]</w:t>
      </w:r>
      <w:r w:rsidR="00517D1F">
        <w:rPr>
          <w:lang w:val="en-US"/>
        </w:rPr>
        <w:fldChar w:fldCharType="end"/>
      </w:r>
      <w:r w:rsidR="00517D1F">
        <w:rPr>
          <w:lang w:val="en-US"/>
        </w:rPr>
        <w:t xml:space="preserve"> and Stage 3 aspects are given in </w:t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_Ref525743045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9793F">
        <w:rPr>
          <w:lang w:val="en-US"/>
        </w:rPr>
        <w:t>[2]</w:t>
      </w:r>
      <w:r w:rsidR="00517D1F">
        <w:rPr>
          <w:lang w:val="en-US"/>
        </w:rPr>
        <w:fldChar w:fldCharType="end"/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_Ref525743073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9793F">
        <w:rPr>
          <w:lang w:val="en-US"/>
        </w:rPr>
        <w:t>[3]</w:t>
      </w:r>
      <w:r w:rsidR="00517D1F">
        <w:rPr>
          <w:lang w:val="en-US"/>
        </w:rPr>
        <w:fldChar w:fldCharType="end"/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_Ref525743074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9793F">
        <w:rPr>
          <w:lang w:val="en-US"/>
        </w:rPr>
        <w:t>[4]</w:t>
      </w:r>
      <w:r w:rsidR="00517D1F">
        <w:rPr>
          <w:lang w:val="en-US"/>
        </w:rPr>
        <w:fldChar w:fldCharType="end"/>
      </w:r>
      <w:r w:rsidRPr="009C7598">
        <w:rPr>
          <w:lang w:val="en-US"/>
        </w:rPr>
        <w:t>.</w:t>
      </w:r>
    </w:p>
    <w:p w14:paraId="478FA6AC" w14:textId="77777777" w:rsidR="009C7598" w:rsidRDefault="009C7598" w:rsidP="009C7598">
      <w:pPr>
        <w:pStyle w:val="Proposal"/>
      </w:pPr>
      <w:bookmarkStart w:id="2" w:name="_Toc528591591"/>
      <w:r>
        <w:t>NE-DC should support at least the following SCG failure cases: SCG RLF and SN change failure.</w:t>
      </w:r>
      <w:bookmarkEnd w:id="2"/>
      <w:r>
        <w:t xml:space="preserve"> </w:t>
      </w:r>
    </w:p>
    <w:p w14:paraId="6CF9FCDB" w14:textId="3382CB68" w:rsidR="009C7598" w:rsidRDefault="009C7598" w:rsidP="009C7598">
      <w:pPr>
        <w:pStyle w:val="Proposal"/>
      </w:pPr>
      <w:bookmarkStart w:id="3" w:name="_Toc528591592"/>
      <w:r>
        <w:t>NR-DC should support the following SCG failure cases: SCG RLF, SN change failure, SCG configuration failure (only for messages on SRB3) and SCG RRC integrity check failure (on SRB3).</w:t>
      </w:r>
      <w:bookmarkEnd w:id="3"/>
    </w:p>
    <w:p w14:paraId="3EAE54E6" w14:textId="5F2402DF" w:rsidR="00C01F33" w:rsidRPr="00CE0424" w:rsidRDefault="00B409E0" w:rsidP="00CE0424">
      <w:pPr>
        <w:pStyle w:val="Heading1"/>
      </w:pPr>
      <w:bookmarkStart w:id="4" w:name="_Ref189046994"/>
      <w:r>
        <w:t>3</w:t>
      </w:r>
      <w:r>
        <w:tab/>
      </w:r>
      <w:bookmarkEnd w:id="4"/>
      <w:r w:rsidR="00C01F33" w:rsidRPr="00CE0424">
        <w:t>Conclusion</w:t>
      </w:r>
    </w:p>
    <w:p w14:paraId="5D379E6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3BD425C" w14:textId="2F750598" w:rsidR="0059793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591591" w:history="1">
        <w:r w:rsidR="0059793F" w:rsidRPr="00314091">
          <w:rPr>
            <w:rStyle w:val="Hyperlink"/>
            <w:noProof/>
          </w:rPr>
          <w:t>Proposal 1</w:t>
        </w:r>
        <w:r w:rsidR="005979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9793F" w:rsidRPr="00314091">
          <w:rPr>
            <w:rStyle w:val="Hyperlink"/>
            <w:noProof/>
          </w:rPr>
          <w:t>NE-DC should support at least the following SCG failure cases: SCG RLF and SN change failure.</w:t>
        </w:r>
      </w:hyperlink>
    </w:p>
    <w:p w14:paraId="4EA7A6C7" w14:textId="231C7F43" w:rsidR="0059793F" w:rsidRDefault="003F642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8591592" w:history="1">
        <w:r w:rsidR="0059793F" w:rsidRPr="00314091">
          <w:rPr>
            <w:rStyle w:val="Hyperlink"/>
            <w:noProof/>
          </w:rPr>
          <w:t>Proposal 2</w:t>
        </w:r>
        <w:r w:rsidR="005979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9793F" w:rsidRPr="00314091">
          <w:rPr>
            <w:rStyle w:val="Hyperlink"/>
            <w:noProof/>
          </w:rPr>
          <w:t>NR-DC should support the following SCG failure cases: SCG RLF, SN change failure, SCG configuration failure (only for messages on SRB3) and SCG RRC integrity check failure (on SRB3).</w:t>
        </w:r>
      </w:hyperlink>
    </w:p>
    <w:p w14:paraId="7EEF52FB" w14:textId="219DF498" w:rsidR="00C01F33" w:rsidRPr="00CE0424" w:rsidRDefault="006E1C82" w:rsidP="009C7598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  <w:r w:rsidRPr="00CE0424">
        <w:rPr>
          <w:bCs/>
        </w:rPr>
        <w:t xml:space="preserve"> </w:t>
      </w:r>
    </w:p>
    <w:p w14:paraId="3E4F63CA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57FA7366" w14:textId="71D806FE" w:rsidR="00B11A99" w:rsidRPr="003C18CB" w:rsidRDefault="00B11A99" w:rsidP="00B11A99">
      <w:pPr>
        <w:pStyle w:val="Reference"/>
      </w:pPr>
      <w:bookmarkStart w:id="6" w:name="_Ref525743052"/>
      <w:r w:rsidRPr="003C18CB">
        <w:rPr>
          <w:color w:val="000000"/>
        </w:rPr>
        <w:t>R2-1</w:t>
      </w:r>
      <w:r w:rsidR="00F204C7">
        <w:rPr>
          <w:color w:val="000000"/>
        </w:rPr>
        <w:t>8183</w:t>
      </w:r>
      <w:r w:rsidR="00F13650">
        <w:rPr>
          <w:color w:val="000000"/>
        </w:rPr>
        <w:t>98</w:t>
      </w:r>
      <w:r w:rsidRPr="003C18CB">
        <w:t xml:space="preserve">, SCG failure handling in case of </w:t>
      </w:r>
      <w:r w:rsidR="00CF0FAE">
        <w:t>MR-DC</w:t>
      </w:r>
      <w:r w:rsidRPr="003C18CB">
        <w:t xml:space="preserve"> (CR to 37.340),</w:t>
      </w:r>
      <w:bookmarkEnd w:id="6"/>
      <w:r w:rsidR="00CF0FAE" w:rsidRPr="00CF0FAE">
        <w:t xml:space="preserve"> </w:t>
      </w:r>
      <w:r w:rsidR="00CF0FAE" w:rsidRPr="003C18CB">
        <w:t xml:space="preserve">Ericsson, </w:t>
      </w:r>
      <w:r w:rsidR="00CF0FAE" w:rsidRPr="003C18CB">
        <w:rPr>
          <w:rFonts w:cs="Arial"/>
        </w:rPr>
        <w:t>TSG-RAN WG2 #10</w:t>
      </w:r>
      <w:r w:rsidR="00CF0FAE">
        <w:rPr>
          <w:rFonts w:cs="Arial"/>
        </w:rPr>
        <w:t>4</w:t>
      </w:r>
      <w:r w:rsidR="00CF0FAE" w:rsidRPr="003C18CB">
        <w:t xml:space="preserve">, </w:t>
      </w:r>
      <w:r w:rsidR="00CF0FAE" w:rsidRPr="00475172">
        <w:t>Spokane, USA, 12th – 17th November 2018</w:t>
      </w:r>
      <w:r w:rsidR="00CF0FAE">
        <w:t>.</w:t>
      </w:r>
    </w:p>
    <w:p w14:paraId="55BD8DFE" w14:textId="68C73848" w:rsidR="009C5CC5" w:rsidRPr="003C18CB" w:rsidRDefault="009C5CC5" w:rsidP="009C5CC5">
      <w:pPr>
        <w:pStyle w:val="Reference"/>
      </w:pPr>
      <w:bookmarkStart w:id="7" w:name="_Ref525743045"/>
      <w:r w:rsidRPr="003C18CB">
        <w:rPr>
          <w:color w:val="000000"/>
        </w:rPr>
        <w:t>R2-1</w:t>
      </w:r>
      <w:r w:rsidR="00F13650">
        <w:rPr>
          <w:color w:val="000000"/>
        </w:rPr>
        <w:t>8183</w:t>
      </w:r>
      <w:r w:rsidR="000F0493">
        <w:rPr>
          <w:color w:val="000000"/>
        </w:rPr>
        <w:t>95</w:t>
      </w:r>
      <w:r w:rsidRPr="003C18CB">
        <w:t>, SCG failure handling in case of NE-DC (CR to 3</w:t>
      </w:r>
      <w:r w:rsidR="00C94C65" w:rsidRPr="003C18CB">
        <w:t>8</w:t>
      </w:r>
      <w:r w:rsidRPr="003C18CB">
        <w:t>.3</w:t>
      </w:r>
      <w:r w:rsidR="00C94C65" w:rsidRPr="003C18CB">
        <w:t>31</w:t>
      </w:r>
      <w:r w:rsidRPr="003C18CB">
        <w:t xml:space="preserve">), </w:t>
      </w:r>
      <w:bookmarkEnd w:id="7"/>
      <w:r w:rsidR="00CF0FAE" w:rsidRPr="003C18CB">
        <w:t xml:space="preserve">Ericsson, </w:t>
      </w:r>
      <w:r w:rsidR="00CF0FAE" w:rsidRPr="003C18CB">
        <w:rPr>
          <w:rFonts w:cs="Arial"/>
        </w:rPr>
        <w:t>TSG-RAN WG2 #10</w:t>
      </w:r>
      <w:r w:rsidR="00CF0FAE">
        <w:rPr>
          <w:rFonts w:cs="Arial"/>
        </w:rPr>
        <w:t>4</w:t>
      </w:r>
      <w:r w:rsidR="00CF0FAE" w:rsidRPr="003C18CB">
        <w:t xml:space="preserve">, </w:t>
      </w:r>
      <w:r w:rsidR="00CF0FAE" w:rsidRPr="00475172">
        <w:t>Spokane, USA, 12th – 17th November 2018</w:t>
      </w:r>
      <w:r w:rsidR="00CF0FAE">
        <w:t>.</w:t>
      </w:r>
    </w:p>
    <w:p w14:paraId="571291AB" w14:textId="2F31665C" w:rsidR="00C94C65" w:rsidRPr="003C18CB" w:rsidRDefault="00C94C65" w:rsidP="00C94C65">
      <w:pPr>
        <w:pStyle w:val="Reference"/>
      </w:pPr>
      <w:bookmarkStart w:id="8" w:name="_Ref525743073"/>
      <w:r w:rsidRPr="003C18CB">
        <w:rPr>
          <w:color w:val="000000"/>
        </w:rPr>
        <w:t>R2-1</w:t>
      </w:r>
      <w:r w:rsidR="000F0493">
        <w:rPr>
          <w:color w:val="000000"/>
        </w:rPr>
        <w:t>818394</w:t>
      </w:r>
      <w:r w:rsidRPr="003C18CB">
        <w:t xml:space="preserve">, SCG failure handling in case of NE-DC (CR to 36.331), Ericsson, </w:t>
      </w:r>
      <w:r w:rsidRPr="003C18CB">
        <w:rPr>
          <w:rFonts w:cs="Arial"/>
        </w:rPr>
        <w:t>TSG-RAN WG2 #10</w:t>
      </w:r>
      <w:r w:rsidR="00CF0FAE">
        <w:rPr>
          <w:rFonts w:cs="Arial"/>
        </w:rPr>
        <w:t>4</w:t>
      </w:r>
      <w:r w:rsidRPr="003C18CB">
        <w:t xml:space="preserve">, </w:t>
      </w:r>
      <w:bookmarkEnd w:id="8"/>
      <w:r w:rsidR="00CF0FAE" w:rsidRPr="00475172">
        <w:t>Spokane, USA, 12th – 17th November 2018</w:t>
      </w:r>
      <w:r w:rsidR="00CF0FAE">
        <w:t>.</w:t>
      </w:r>
    </w:p>
    <w:p w14:paraId="61256F5F" w14:textId="4B3DF735" w:rsidR="00C94C65" w:rsidRPr="003C18CB" w:rsidRDefault="00C94C65" w:rsidP="00C94C65">
      <w:pPr>
        <w:pStyle w:val="Reference"/>
      </w:pPr>
      <w:bookmarkStart w:id="9" w:name="_Ref525743074"/>
      <w:r w:rsidRPr="003C18CB">
        <w:rPr>
          <w:color w:val="000000"/>
        </w:rPr>
        <w:t>R2-1</w:t>
      </w:r>
      <w:r w:rsidR="000F0493">
        <w:rPr>
          <w:color w:val="000000"/>
        </w:rPr>
        <w:t>81</w:t>
      </w:r>
      <w:r w:rsidR="003F642A">
        <w:rPr>
          <w:color w:val="000000"/>
        </w:rPr>
        <w:t>8396</w:t>
      </w:r>
      <w:r w:rsidRPr="003C18CB">
        <w:t>, SCG fa</w:t>
      </w:r>
      <w:bookmarkStart w:id="10" w:name="_GoBack"/>
      <w:bookmarkEnd w:id="10"/>
      <w:r w:rsidRPr="003C18CB">
        <w:t>ilure handling in case of NR-DC (CR to 38.331),</w:t>
      </w:r>
      <w:bookmarkEnd w:id="9"/>
      <w:r w:rsidR="00CF0FAE" w:rsidRPr="00CF0FAE">
        <w:t xml:space="preserve"> </w:t>
      </w:r>
      <w:r w:rsidR="00CF0FAE" w:rsidRPr="003C18CB">
        <w:t xml:space="preserve">Ericsson, </w:t>
      </w:r>
      <w:r w:rsidR="00CF0FAE" w:rsidRPr="003C18CB">
        <w:rPr>
          <w:rFonts w:cs="Arial"/>
        </w:rPr>
        <w:t>TSG-RAN WG2 #10</w:t>
      </w:r>
      <w:r w:rsidR="00CF0FAE">
        <w:rPr>
          <w:rFonts w:cs="Arial"/>
        </w:rPr>
        <w:t>4</w:t>
      </w:r>
      <w:r w:rsidR="00CF0FAE" w:rsidRPr="003C18CB">
        <w:t xml:space="preserve">, </w:t>
      </w:r>
      <w:r w:rsidR="00CF0FAE" w:rsidRPr="00475172">
        <w:t>Spokane, USA, 12th – 17th November 2018</w:t>
      </w:r>
      <w:r w:rsidR="00CF0FAE">
        <w:t>.</w:t>
      </w:r>
    </w:p>
    <w:p w14:paraId="410FF8B1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64361" w14:textId="77777777" w:rsidR="00CF2DB0" w:rsidRDefault="00CF2DB0">
      <w:r>
        <w:separator/>
      </w:r>
    </w:p>
  </w:endnote>
  <w:endnote w:type="continuationSeparator" w:id="0">
    <w:p w14:paraId="5DEFF0E7" w14:textId="77777777" w:rsidR="00CF2DB0" w:rsidRDefault="00CF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84B7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E649E" w14:textId="77777777" w:rsidR="00CF2DB0" w:rsidRDefault="00CF2DB0">
      <w:r>
        <w:separator/>
      </w:r>
    </w:p>
  </w:footnote>
  <w:footnote w:type="continuationSeparator" w:id="0">
    <w:p w14:paraId="0C2F27AF" w14:textId="77777777" w:rsidR="00CF2DB0" w:rsidRDefault="00CF2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25A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4"/>
  </w:num>
  <w:num w:numId="23">
    <w:abstractNumId w:val="20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B90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CB4"/>
    <w:rsid w:val="000E0527"/>
    <w:rsid w:val="000E1E92"/>
    <w:rsid w:val="000F049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3FCB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66C9"/>
    <w:rsid w:val="0018143F"/>
    <w:rsid w:val="00181FF8"/>
    <w:rsid w:val="00184FB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F18"/>
    <w:rsid w:val="001C3D2A"/>
    <w:rsid w:val="001D51BA"/>
    <w:rsid w:val="001D53E7"/>
    <w:rsid w:val="001D5AA8"/>
    <w:rsid w:val="001D6342"/>
    <w:rsid w:val="001D6D53"/>
    <w:rsid w:val="001E4CC7"/>
    <w:rsid w:val="001E58E2"/>
    <w:rsid w:val="001E7AED"/>
    <w:rsid w:val="001F3916"/>
    <w:rsid w:val="001F54C5"/>
    <w:rsid w:val="001F662C"/>
    <w:rsid w:val="001F7074"/>
    <w:rsid w:val="00200490"/>
    <w:rsid w:val="00201F3A"/>
    <w:rsid w:val="0020363B"/>
    <w:rsid w:val="00203F96"/>
    <w:rsid w:val="002069B2"/>
    <w:rsid w:val="00207FA3"/>
    <w:rsid w:val="00213CEF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A6D"/>
    <w:rsid w:val="003203ED"/>
    <w:rsid w:val="00322C9F"/>
    <w:rsid w:val="00324D23"/>
    <w:rsid w:val="00331751"/>
    <w:rsid w:val="0033387A"/>
    <w:rsid w:val="00334579"/>
    <w:rsid w:val="00335858"/>
    <w:rsid w:val="00336BDA"/>
    <w:rsid w:val="00342BD7"/>
    <w:rsid w:val="00346DB5"/>
    <w:rsid w:val="003477B1"/>
    <w:rsid w:val="0035484B"/>
    <w:rsid w:val="00357380"/>
    <w:rsid w:val="003602D9"/>
    <w:rsid w:val="003604CE"/>
    <w:rsid w:val="00370E47"/>
    <w:rsid w:val="003742AC"/>
    <w:rsid w:val="00377CE1"/>
    <w:rsid w:val="0038241C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04B"/>
    <w:rsid w:val="003C11C8"/>
    <w:rsid w:val="003C18CB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42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CE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172"/>
    <w:rsid w:val="0047556B"/>
    <w:rsid w:val="00477768"/>
    <w:rsid w:val="00492BC5"/>
    <w:rsid w:val="004964F1"/>
    <w:rsid w:val="004A16BC"/>
    <w:rsid w:val="004A2B94"/>
    <w:rsid w:val="004B6F6A"/>
    <w:rsid w:val="004B7C0C"/>
    <w:rsid w:val="004C28C4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7E6"/>
    <w:rsid w:val="00506557"/>
    <w:rsid w:val="0050677A"/>
    <w:rsid w:val="005108D8"/>
    <w:rsid w:val="005116F9"/>
    <w:rsid w:val="005153A7"/>
    <w:rsid w:val="00517D1F"/>
    <w:rsid w:val="005219CF"/>
    <w:rsid w:val="00523B08"/>
    <w:rsid w:val="00534B59"/>
    <w:rsid w:val="00536759"/>
    <w:rsid w:val="00537C62"/>
    <w:rsid w:val="00546970"/>
    <w:rsid w:val="005511BD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9793F"/>
    <w:rsid w:val="005A209A"/>
    <w:rsid w:val="005A662D"/>
    <w:rsid w:val="005B1409"/>
    <w:rsid w:val="005B157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2D9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906"/>
    <w:rsid w:val="007A1CB3"/>
    <w:rsid w:val="007A306F"/>
    <w:rsid w:val="007A43A6"/>
    <w:rsid w:val="007A58A6"/>
    <w:rsid w:val="007B1D00"/>
    <w:rsid w:val="007B3D2D"/>
    <w:rsid w:val="007B50AE"/>
    <w:rsid w:val="007B51DF"/>
    <w:rsid w:val="007B7391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4B2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4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10B7D"/>
    <w:rsid w:val="00911DFB"/>
    <w:rsid w:val="009139D9"/>
    <w:rsid w:val="00914AD8"/>
    <w:rsid w:val="00916079"/>
    <w:rsid w:val="009160B7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CC5"/>
    <w:rsid w:val="009C7598"/>
    <w:rsid w:val="009D4FF0"/>
    <w:rsid w:val="009D703C"/>
    <w:rsid w:val="009D718F"/>
    <w:rsid w:val="009E068F"/>
    <w:rsid w:val="009E14E0"/>
    <w:rsid w:val="009E35DB"/>
    <w:rsid w:val="009E47A3"/>
    <w:rsid w:val="009E58AC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33E3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662"/>
    <w:rsid w:val="00AD0AA3"/>
    <w:rsid w:val="00AD3F94"/>
    <w:rsid w:val="00AD4A5A"/>
    <w:rsid w:val="00AD58B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A99"/>
    <w:rsid w:val="00B157F9"/>
    <w:rsid w:val="00B20256"/>
    <w:rsid w:val="00B20D09"/>
    <w:rsid w:val="00B272DD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3FB"/>
    <w:rsid w:val="00BD48AC"/>
    <w:rsid w:val="00BD5F1A"/>
    <w:rsid w:val="00BE1234"/>
    <w:rsid w:val="00BE2FA6"/>
    <w:rsid w:val="00BE333F"/>
    <w:rsid w:val="00BE40A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C65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FAE"/>
    <w:rsid w:val="00CF1354"/>
    <w:rsid w:val="00CF2DB0"/>
    <w:rsid w:val="00CF3B1F"/>
    <w:rsid w:val="00CF3BF6"/>
    <w:rsid w:val="00CF625B"/>
    <w:rsid w:val="00CF687E"/>
    <w:rsid w:val="00D0349B"/>
    <w:rsid w:val="00D100BC"/>
    <w:rsid w:val="00D10249"/>
    <w:rsid w:val="00D115C3"/>
    <w:rsid w:val="00D11897"/>
    <w:rsid w:val="00D13135"/>
    <w:rsid w:val="00D13E4E"/>
    <w:rsid w:val="00D239A7"/>
    <w:rsid w:val="00D23F47"/>
    <w:rsid w:val="00D24963"/>
    <w:rsid w:val="00D36E71"/>
    <w:rsid w:val="00D37D87"/>
    <w:rsid w:val="00D40B33"/>
    <w:rsid w:val="00D4318F"/>
    <w:rsid w:val="00D438BF"/>
    <w:rsid w:val="00D440F8"/>
    <w:rsid w:val="00D537A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5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CC5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50"/>
    <w:rsid w:val="00F15FA5"/>
    <w:rsid w:val="00F204C7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A76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8F0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487C"/>
    <w:rsid w:val="00FD5C4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4904E70"/>
  <w15:chartTrackingRefBased/>
  <w15:docId w15:val="{6CF9D220-145F-4665-87DE-9FFF48FB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51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751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751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51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51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51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517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517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517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51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5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5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7517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7517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75172"/>
    <w:pPr>
      <w:ind w:left="1701" w:hanging="1701"/>
    </w:pPr>
  </w:style>
  <w:style w:type="paragraph" w:styleId="TOC4">
    <w:name w:val="toc 4"/>
    <w:basedOn w:val="TOC3"/>
    <w:uiPriority w:val="39"/>
    <w:rsid w:val="00475172"/>
    <w:pPr>
      <w:ind w:left="1418" w:hanging="1418"/>
    </w:pPr>
  </w:style>
  <w:style w:type="paragraph" w:styleId="TOC3">
    <w:name w:val="toc 3"/>
    <w:basedOn w:val="TOC2"/>
    <w:uiPriority w:val="39"/>
    <w:rsid w:val="00475172"/>
    <w:pPr>
      <w:ind w:left="1134" w:hanging="1134"/>
    </w:pPr>
  </w:style>
  <w:style w:type="paragraph" w:styleId="TOC2">
    <w:name w:val="toc 2"/>
    <w:basedOn w:val="TOC1"/>
    <w:uiPriority w:val="39"/>
    <w:rsid w:val="004751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5172"/>
    <w:pPr>
      <w:ind w:left="284"/>
    </w:pPr>
  </w:style>
  <w:style w:type="paragraph" w:styleId="Index1">
    <w:name w:val="index 1"/>
    <w:basedOn w:val="Normal"/>
    <w:rsid w:val="00475172"/>
    <w:pPr>
      <w:keepLines/>
      <w:spacing w:after="0"/>
    </w:pPr>
  </w:style>
  <w:style w:type="paragraph" w:styleId="DocumentMap">
    <w:name w:val="Document Map"/>
    <w:basedOn w:val="Normal"/>
    <w:link w:val="DocumentMapChar"/>
    <w:rsid w:val="0047517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75172"/>
    <w:pPr>
      <w:numPr>
        <w:numId w:val="22"/>
      </w:numPr>
    </w:pPr>
  </w:style>
  <w:style w:type="paragraph" w:styleId="ListNumber">
    <w:name w:val="List Number"/>
    <w:basedOn w:val="List"/>
    <w:rsid w:val="0047517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75172"/>
    <w:pPr>
      <w:ind w:left="568" w:hanging="284"/>
    </w:pPr>
  </w:style>
  <w:style w:type="paragraph" w:styleId="Header">
    <w:name w:val="header"/>
    <w:link w:val="HeaderChar"/>
    <w:rsid w:val="00475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75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517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7517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75172"/>
    <w:pPr>
      <w:ind w:left="1418" w:hanging="1418"/>
    </w:pPr>
  </w:style>
  <w:style w:type="paragraph" w:styleId="TOC6">
    <w:name w:val="toc 6"/>
    <w:basedOn w:val="TOC5"/>
    <w:next w:val="Normal"/>
    <w:uiPriority w:val="39"/>
    <w:rsid w:val="00475172"/>
    <w:pPr>
      <w:ind w:left="1985" w:hanging="1985"/>
    </w:pPr>
  </w:style>
  <w:style w:type="paragraph" w:styleId="TOC7">
    <w:name w:val="toc 7"/>
    <w:basedOn w:val="TOC6"/>
    <w:next w:val="Normal"/>
    <w:uiPriority w:val="39"/>
    <w:rsid w:val="00475172"/>
    <w:pPr>
      <w:ind w:left="2268" w:hanging="2268"/>
    </w:pPr>
  </w:style>
  <w:style w:type="paragraph" w:styleId="ListBullet2">
    <w:name w:val="List Bullet 2"/>
    <w:basedOn w:val="ListBullet"/>
    <w:rsid w:val="00475172"/>
    <w:pPr>
      <w:numPr>
        <w:numId w:val="17"/>
      </w:numPr>
    </w:pPr>
  </w:style>
  <w:style w:type="paragraph" w:styleId="ListBullet">
    <w:name w:val="List Bullet"/>
    <w:basedOn w:val="List"/>
    <w:rsid w:val="0047517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75172"/>
    <w:pPr>
      <w:numPr>
        <w:numId w:val="18"/>
      </w:numPr>
    </w:pPr>
  </w:style>
  <w:style w:type="paragraph" w:customStyle="1" w:styleId="EQ">
    <w:name w:val="EQ"/>
    <w:basedOn w:val="Normal"/>
    <w:next w:val="Normal"/>
    <w:rsid w:val="0047517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75172"/>
    <w:pPr>
      <w:ind w:left="851"/>
    </w:pPr>
    <w:rPr>
      <w:lang w:eastAsia="ja-JP"/>
    </w:rPr>
  </w:style>
  <w:style w:type="paragraph" w:styleId="List3">
    <w:name w:val="List 3"/>
    <w:basedOn w:val="List2"/>
    <w:rsid w:val="00475172"/>
    <w:pPr>
      <w:ind w:left="1135"/>
    </w:pPr>
  </w:style>
  <w:style w:type="paragraph" w:styleId="List4">
    <w:name w:val="List 4"/>
    <w:basedOn w:val="List3"/>
    <w:rsid w:val="00475172"/>
    <w:pPr>
      <w:ind w:left="1418"/>
    </w:pPr>
  </w:style>
  <w:style w:type="paragraph" w:styleId="List5">
    <w:name w:val="List 5"/>
    <w:basedOn w:val="List4"/>
    <w:rsid w:val="00475172"/>
    <w:pPr>
      <w:ind w:left="1702"/>
    </w:pPr>
  </w:style>
  <w:style w:type="paragraph" w:customStyle="1" w:styleId="EditorsNote">
    <w:name w:val="Editor's Note"/>
    <w:basedOn w:val="NO"/>
    <w:link w:val="EditorsNoteChar"/>
    <w:rsid w:val="00475172"/>
    <w:rPr>
      <w:color w:val="FF0000"/>
      <w:lang w:val="x-none" w:eastAsia="x-none"/>
    </w:rPr>
  </w:style>
  <w:style w:type="paragraph" w:styleId="ListBullet4">
    <w:name w:val="List Bullet 4"/>
    <w:basedOn w:val="ListBullet3"/>
    <w:rsid w:val="00475172"/>
    <w:pPr>
      <w:numPr>
        <w:numId w:val="19"/>
      </w:numPr>
    </w:pPr>
  </w:style>
  <w:style w:type="paragraph" w:styleId="ListBullet5">
    <w:name w:val="List Bullet 5"/>
    <w:basedOn w:val="ListBullet4"/>
    <w:rsid w:val="00475172"/>
    <w:pPr>
      <w:numPr>
        <w:numId w:val="20"/>
      </w:numPr>
    </w:pPr>
  </w:style>
  <w:style w:type="paragraph" w:styleId="Footer">
    <w:name w:val="footer"/>
    <w:basedOn w:val="Header"/>
    <w:link w:val="FooterChar"/>
    <w:rsid w:val="00475172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47517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7517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75172"/>
  </w:style>
  <w:style w:type="paragraph" w:styleId="BodyText">
    <w:name w:val="Body Text"/>
    <w:basedOn w:val="Normal"/>
    <w:link w:val="BodyTextChar"/>
    <w:rsid w:val="0047517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75172"/>
    <w:rPr>
      <w:color w:val="0000FF"/>
      <w:u w:val="single"/>
    </w:rPr>
  </w:style>
  <w:style w:type="character" w:styleId="FollowedHyperlink">
    <w:name w:val="FollowedHyperlink"/>
    <w:unhideWhenUsed/>
    <w:rsid w:val="00475172"/>
    <w:rPr>
      <w:color w:val="800080"/>
      <w:u w:val="single"/>
    </w:rPr>
  </w:style>
  <w:style w:type="character" w:styleId="CommentReference">
    <w:name w:val="annotation reference"/>
    <w:uiPriority w:val="99"/>
    <w:qFormat/>
    <w:rsid w:val="00475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75172"/>
  </w:style>
  <w:style w:type="paragraph" w:styleId="CommentSubject">
    <w:name w:val="annotation subject"/>
    <w:basedOn w:val="CommentText"/>
    <w:next w:val="CommentText"/>
    <w:link w:val="CommentSubjectChar"/>
    <w:rsid w:val="00475172"/>
    <w:rPr>
      <w:b/>
      <w:bCs/>
    </w:rPr>
  </w:style>
  <w:style w:type="character" w:customStyle="1" w:styleId="Heading1Char">
    <w:name w:val="Heading 1 Char"/>
    <w:link w:val="Heading1"/>
    <w:rsid w:val="0047517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7517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7517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7517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75172"/>
    <w:rPr>
      <w:rFonts w:ascii="Times New Roman" w:hAnsi="Times New Roman"/>
    </w:rPr>
  </w:style>
  <w:style w:type="paragraph" w:customStyle="1" w:styleId="Proposal">
    <w:name w:val="Proposal"/>
    <w:basedOn w:val="BodyText"/>
    <w:rsid w:val="0047517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7517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75172"/>
    <w:rPr>
      <w:rFonts w:ascii="Times New Roman" w:hAnsi="Times New Roman"/>
    </w:rPr>
  </w:style>
  <w:style w:type="paragraph" w:customStyle="1" w:styleId="EX">
    <w:name w:val="EX"/>
    <w:basedOn w:val="Normal"/>
    <w:rsid w:val="00475172"/>
    <w:pPr>
      <w:keepLines/>
      <w:ind w:left="1702" w:hanging="1418"/>
    </w:pPr>
  </w:style>
  <w:style w:type="paragraph" w:customStyle="1" w:styleId="EW">
    <w:name w:val="EW"/>
    <w:basedOn w:val="EX"/>
    <w:rsid w:val="00475172"/>
    <w:pPr>
      <w:spacing w:after="0"/>
    </w:pPr>
  </w:style>
  <w:style w:type="paragraph" w:customStyle="1" w:styleId="TAL">
    <w:name w:val="TAL"/>
    <w:basedOn w:val="Normal"/>
    <w:link w:val="TALCar"/>
    <w:rsid w:val="0047517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75172"/>
    <w:pPr>
      <w:jc w:val="center"/>
    </w:pPr>
  </w:style>
  <w:style w:type="paragraph" w:customStyle="1" w:styleId="TAH">
    <w:name w:val="TAH"/>
    <w:basedOn w:val="TAC"/>
    <w:link w:val="TAHCar"/>
    <w:rsid w:val="00475172"/>
    <w:rPr>
      <w:b/>
    </w:rPr>
  </w:style>
  <w:style w:type="paragraph" w:customStyle="1" w:styleId="TAN">
    <w:name w:val="TAN"/>
    <w:basedOn w:val="TAL"/>
    <w:rsid w:val="00475172"/>
    <w:pPr>
      <w:ind w:left="851" w:hanging="851"/>
    </w:pPr>
  </w:style>
  <w:style w:type="paragraph" w:customStyle="1" w:styleId="TAR">
    <w:name w:val="TAR"/>
    <w:basedOn w:val="TAL"/>
    <w:rsid w:val="00475172"/>
    <w:pPr>
      <w:jc w:val="right"/>
    </w:pPr>
  </w:style>
  <w:style w:type="paragraph" w:customStyle="1" w:styleId="TH">
    <w:name w:val="TH"/>
    <w:basedOn w:val="Normal"/>
    <w:link w:val="THChar"/>
    <w:rsid w:val="0047517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7517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75172"/>
    <w:pPr>
      <w:outlineLvl w:val="9"/>
    </w:pPr>
  </w:style>
  <w:style w:type="paragraph" w:customStyle="1" w:styleId="ZA">
    <w:name w:val="ZA"/>
    <w:rsid w:val="00475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75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75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75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75172"/>
  </w:style>
  <w:style w:type="paragraph" w:customStyle="1" w:styleId="ZH">
    <w:name w:val="ZH"/>
    <w:rsid w:val="00475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75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7517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75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75172"/>
    <w:pPr>
      <w:framePr w:wrap="notBeside" w:y="16161"/>
    </w:pPr>
  </w:style>
  <w:style w:type="paragraph" w:customStyle="1" w:styleId="FP">
    <w:name w:val="FP"/>
    <w:basedOn w:val="Normal"/>
    <w:rsid w:val="00475172"/>
    <w:pPr>
      <w:spacing w:after="0"/>
    </w:pPr>
  </w:style>
  <w:style w:type="paragraph" w:customStyle="1" w:styleId="Observation">
    <w:name w:val="Observation"/>
    <w:basedOn w:val="Proposal"/>
    <w:qFormat/>
    <w:rsid w:val="0047517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7517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7517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7517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7517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7517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7517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75172"/>
    <w:pPr>
      <w:ind w:left="1985"/>
    </w:pPr>
  </w:style>
  <w:style w:type="character" w:customStyle="1" w:styleId="B6Char">
    <w:name w:val="B6 Char"/>
    <w:link w:val="B6"/>
    <w:rsid w:val="0047517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75172"/>
    <w:pPr>
      <w:ind w:left="2269"/>
    </w:pPr>
  </w:style>
  <w:style w:type="character" w:customStyle="1" w:styleId="B7Char">
    <w:name w:val="B7 Char"/>
    <w:basedOn w:val="B6Char"/>
    <w:link w:val="B7"/>
    <w:rsid w:val="0047517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75172"/>
    <w:pPr>
      <w:ind w:left="2552"/>
    </w:pPr>
  </w:style>
  <w:style w:type="character" w:customStyle="1" w:styleId="BalloonTextChar">
    <w:name w:val="Balloon Text Char"/>
    <w:link w:val="BalloonText"/>
    <w:rsid w:val="0047517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7517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7517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7517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7517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751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7517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7517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75172"/>
    <w:pPr>
      <w:keepLines/>
      <w:ind w:left="1135" w:hanging="851"/>
    </w:pPr>
  </w:style>
  <w:style w:type="character" w:customStyle="1" w:styleId="NOChar">
    <w:name w:val="NO Char"/>
    <w:link w:val="NO"/>
    <w:qFormat/>
    <w:rsid w:val="0047517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7517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7517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75172"/>
    <w:rPr>
      <w:i/>
      <w:iCs/>
    </w:rPr>
  </w:style>
  <w:style w:type="paragraph" w:customStyle="1" w:styleId="FigureTitle">
    <w:name w:val="Figure_Title"/>
    <w:basedOn w:val="Normal"/>
    <w:next w:val="Normal"/>
    <w:rsid w:val="0047517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7517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7517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7517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75172"/>
    <w:rPr>
      <w:i/>
      <w:color w:val="0000FF"/>
    </w:rPr>
  </w:style>
  <w:style w:type="character" w:customStyle="1" w:styleId="Heading2Char">
    <w:name w:val="Heading 2 Char"/>
    <w:link w:val="Heading2"/>
    <w:rsid w:val="0047517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7517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7517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7517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7517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7517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7517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7517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7517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7517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7517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75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7517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7517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7517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75172"/>
    <w:pPr>
      <w:spacing w:after="0"/>
    </w:pPr>
  </w:style>
  <w:style w:type="paragraph" w:customStyle="1" w:styleId="PL">
    <w:name w:val="PL"/>
    <w:link w:val="PLChar"/>
    <w:qFormat/>
    <w:rsid w:val="004751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7517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7517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7517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75172"/>
    <w:rPr>
      <w:b/>
      <w:bCs/>
    </w:rPr>
  </w:style>
  <w:style w:type="table" w:styleId="TableGrid">
    <w:name w:val="Table Grid"/>
    <w:basedOn w:val="TableNormal"/>
    <w:uiPriority w:val="39"/>
    <w:rsid w:val="0047517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7517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7517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7517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75172"/>
  </w:style>
  <w:style w:type="paragraph" w:customStyle="1" w:styleId="TALCharChar">
    <w:name w:val="TAL Char Char"/>
    <w:basedOn w:val="Normal"/>
    <w:link w:val="TALCharCharChar"/>
    <w:rsid w:val="0047517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7517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7517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7517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7517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7517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5172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5NUHHDQN7SK2-1476151046-35161</_dlc_DocId>
    <_dlc_DocIdUrl xmlns="f166a696-7b5b-4ccd-9f0c-ffde0cceec81">
      <Url>https://ericsson.sharepoint.com/sites/star/_layouts/15/DocIdRedir.aspx?ID=5NUHHDQN7SK2-1476151046-35161</Url>
      <Description>5NUHHDQN7SK2-1476151046-35161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5BAEA-3B69-4026-83EC-C0F1195A55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5A1CC28-1A62-41EB-A2A7-4E8C0702A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318F92-A332-4C22-BDB9-764A728EE973}">
  <ds:schemaRefs>
    <ds:schemaRef ds:uri="http://purl.org/dc/terms/"/>
    <ds:schemaRef ds:uri="f166a696-7b5b-4ccd-9f0c-ffde0cceec81"/>
    <ds:schemaRef ds:uri="http://schemas.microsoft.com/office/2006/documentManagement/types"/>
    <ds:schemaRef ds:uri="http://www.w3.org/XML/1998/namespace"/>
    <ds:schemaRef ds:uri="611109f9-ed58-4498-a270-1fb2086a5321"/>
    <ds:schemaRef ds:uri="http://schemas.microsoft.com/sharepoint/v4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F800DE-5249-4747-AE37-667D75658A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8E32C4-E860-49E8-8548-6CC690FE80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3954F6-32CD-46CD-A345-B151FF4F8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48</TotalTime>
  <Pages>3</Pages>
  <Words>1066</Words>
  <Characters>5540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35</cp:revision>
  <cp:lastPrinted>2008-01-31T07:09:00Z</cp:lastPrinted>
  <dcterms:created xsi:type="dcterms:W3CDTF">2018-09-25T09:15:00Z</dcterms:created>
  <dcterms:modified xsi:type="dcterms:W3CDTF">2018-11-02T06:11:00Z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510abcc7-90d8-4506-804b-850f6dfe12bc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